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粉彩&amp;色铅笔.4.静物篇</w:t>
      </w:r>
    </w:p>
    <w:p>
      <w:r>
        <w:rPr>
          <w:rFonts w:ascii="宋体" w:hAnsi="宋体" w:eastAsia="宋体"/>
          <w:sz w:val="24"/>
        </w:rPr>
        <w:t>草野，雄原著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粉彩&amp;色铅笔.4.静物篇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草野，雄原著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台湾：台湾日贩出版社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本书出售、求购地址：https://www.jiaokey.com/book/detail/12123322.html</w:t>
      </w:r>
    </w:p>
    <w:p>
      <w:r>
        <w:t>更多相关图书推荐：https://www.jiaokey.com</w:t>
      </w:r>
    </w:p>
    <w:p>
      <w:r>
        <w:t>草野，雄原著 其他作品：https://www.jiaokey.com/tag/草野，雄原著.html</w:t>
      </w:r>
    </w:p>
    <w:p>
      <w:r>
        <w:t>台湾：台湾日贩出版社 出版图书：https://www.jiaokey.com/tag/台湾：台湾日贩出版社.html</w:t>
      </w:r>
    </w:p>
    <w:p>
      <w:r>
        <w:t>关键词搜索：https://www.jiaokey.com/tag/粉彩&amp;色铅笔.4.静物篇.html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