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抄表核算收费工</w:t>
      </w:r>
    </w:p>
    <w:p>
      <w:r>
        <w:rPr>
          <w:rFonts w:ascii="宋体" w:hAnsi="宋体" w:eastAsia="宋体"/>
          <w:sz w:val="24"/>
        </w:rPr>
        <w:t>丁毓山，徐义斌主编，吴强，裴陆国分册主编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抄表核算收费工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丁毓山，徐义斌主编，吴强，裴陆国分册主编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本书出售、求购地址：https://www.jiaokey.com/book/detail/12121617.html</w:t>
      </w:r>
    </w:p>
    <w:p>
      <w:r>
        <w:t>更多相关图书推荐：https://www.jiaokey.com</w:t>
      </w:r>
    </w:p>
    <w:p>
      <w:r>
        <w:t>丁毓山，徐义斌主编，吴强，裴陆国分册主编 其他作品：https://www.jiaokey.com/tag/丁毓山，徐义斌主编，吴强，裴陆国分册主编.html</w:t>
      </w:r>
    </w:p>
    <w:p>
      <w:r>
        <w:t>水利水电出版社 出版图书：https://www.jiaokey.com/tag/水利水电出版社.html</w:t>
      </w:r>
    </w:p>
    <w:p>
      <w:r>
        <w:t>关键词搜索：https://www.jiaokey.com/tag/抄表核算收费工.html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