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最高人民法院专家法官阐释民商裁判疑难问题  （续）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最高人民法院专家法官阐释民商裁判疑难问题  （续）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本书出售、求购地址：https://www.jiaokey.com/book/detail/12121344.html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关键词搜索：https://www.jiaokey.com/tag/最高人民法院专家法官阐释民商裁判疑难问题  （续）.html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