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英雄厂长刘英源</w:t>
      </w:r>
    </w:p>
    <w:p>
      <w:r>
        <w:rPr>
          <w:rFonts w:ascii="宋体" w:hAnsi="宋体" w:eastAsia="宋体"/>
          <w:sz w:val="24"/>
        </w:rPr>
        <w:t>王彭寿撰；工农的书编委会编辑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英雄厂长刘英源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王彭寿撰；工农的书编委会编辑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本书出售、求购地址：https://www.jiaokey.com/book/detail/12117983.html</w:t>
      </w:r>
    </w:p>
    <w:p>
      <w:r>
        <w:t>更多相关图书推荐：https://www.jiaokey.com</w:t>
      </w:r>
    </w:p>
    <w:p>
      <w:r>
        <w:t>王彭寿撰；工农的书编委会编辑 其他作品：https://www.jiaokey.com/tag/王彭寿撰；工农的书编委会编辑.html</w:t>
      </w:r>
    </w:p>
    <w:p>
      <w:r>
        <w:t>新华书店 出版图书：https://www.jiaokey.com/tag/新华书店.html</w:t>
      </w:r>
    </w:p>
    <w:p>
      <w:r>
        <w:t>关键词搜索：https://www.jiaokey.com/tag/英雄厂长刘英源.html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