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涉税纠纷法律处理实务与案例分析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涉税纠纷法律处理实务与案例分析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本书出售、求购地址：https://www.jiaokey.com/book/detail/12117087.html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关键词搜索：https://www.jiaokey.com/tag/涉税纠纷法律处理实务与案例分析.html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