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通过各科进行爱国主义教育的经验介绍</w:t>
      </w:r>
    </w:p>
    <w:p>
      <w:r>
        <w:rPr>
          <w:rFonts w:ascii="宋体" w:hAnsi="宋体" w:eastAsia="宋体"/>
          <w:sz w:val="24"/>
        </w:rPr>
        <w:t>卢禹，许正秋辑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通过各科进行爱国主义教育的经验介绍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卢禹，许正秋辑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本书出售、求购地址：https://www.jiaokey.com/book/detail/12111706.html</w:t>
      </w:r>
    </w:p>
    <w:p>
      <w:r>
        <w:t>更多相关图书推荐：https://www.jiaokey.com</w:t>
      </w:r>
    </w:p>
    <w:p>
      <w:r>
        <w:t>卢禹，许正秋辑 其他作品：https://www.jiaokey.com/tag/卢禹，许正秋辑.html</w:t>
      </w:r>
    </w:p>
    <w:p>
      <w:r>
        <w:t>大众书店 出版图书：https://www.jiaokey.com/tag/大众书店.html</w:t>
      </w:r>
    </w:p>
    <w:p>
      <w:r>
        <w:t>关键词搜索：https://www.jiaokey.com/tag/通过各科进行爱国主义教育的经验介绍.html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