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隐形人</w:t>
      </w:r>
    </w:p>
    <w:p>
      <w:r>
        <w:rPr>
          <w:rFonts w:ascii="宋体" w:hAnsi="宋体" w:eastAsia="宋体"/>
          <w:sz w:val="24"/>
        </w:rPr>
        <w:t>（英）韦尔斯（Wells，H.G.）著；（澳）贝尼特，（美）黄改写；张黎新译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（英）韦尔斯（Wells，H.G.）著；（澳）贝尼特，（美）黄改写；张黎新译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本书出售、求购地址：https://www.jiaokey.com/book/detail/12107610.html</w:t>
      </w:r>
    </w:p>
    <w:p>
      <w:r>
        <w:t>更多相关图书推荐：https://www.jiaokey.com</w:t>
      </w:r>
    </w:p>
    <w:p>
      <w:r>
        <w:t>（英）韦尔斯（Wells，H.G.）著；（澳）贝尼特，（美）黄改写；张黎新译 其他作品：https://www.jiaokey.com/tag/（英）韦尔斯（Wells，H.G.）著；（澳）贝尼特，（美）黄改写；张黎新译.html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关键词搜索：https://www.jiaokey.com/tag/隐形人.html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