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可持续发展导论</w:t>
      </w:r>
    </w:p>
    <w:p>
      <w:r>
        <w:rPr>
          <w:rFonts w:ascii="宋体" w:hAnsi="宋体" w:eastAsia="宋体"/>
          <w:sz w:val="24"/>
        </w:rPr>
        <w:t>（美）彼得P.罗杰斯（PeterP.Rogers），（美）卡济F.贾拉勒（KaziF.Jalal），（美）约翰A.博伊德（JohnA.Boyd）著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（美）彼得P.罗杰斯（PeterP.Rogers），（美）卡济F.贾拉勒（KaziF.Jalal），（美）约翰A.博伊德（JohnA.Boyd）著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本书出售、求购地址：https://www.jiaokey.com/book/detail/12095121.html</w:t>
      </w:r>
    </w:p>
    <w:p>
      <w:r>
        <w:t>更多相关图书推荐：https://www.jiaokey.com</w:t>
      </w:r>
    </w:p>
    <w:p>
      <w:r>
        <w:t>（美）彼得P.罗杰斯（PeterP.Rogers），（美）卡济F.贾拉勒（KaziF.Jalal），（美）约翰A.博伊德（JohnA.Boyd）著 其他作品：https://www.jiaokey.com/tag/（美）彼得P.罗杰斯（PeterP.Rogers），（美）卡济F.贾拉勒（KaziF.Jalal），（美）约翰A.博伊德（JohnA.Boyd）著.html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关键词搜索：https://www.jiaokey.com/tag/可持续发展导论.html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