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 5.0 下 参考手册</w:t>
      </w:r>
    </w:p>
    <w:p>
      <w:r>
        <w:rPr>
          <w:rFonts w:ascii="宋体" w:hAnsi="宋体" w:eastAsia="宋体"/>
          <w:sz w:val="24"/>
        </w:rPr>
        <w:t>石放译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 5.0 下 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北京航空航天大学计算中心软件开发部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本书出售、求购地址：https://www.jiaokey.com/book/detail/12091198.html</w:t>
      </w:r>
    </w:p>
    <w:p>
      <w:r>
        <w:t>更多相关图书推荐：https://www.jiaokey.com</w:t>
      </w:r>
    </w:p>
    <w:p>
      <w:r>
        <w:t>石放译 其他作品：https://www.jiaokey.com/tag/石放译.html</w:t>
      </w:r>
    </w:p>
    <w:p>
      <w:r>
        <w:t>北京航空航天大学计算中心软件开发部 出版图书：https://www.jiaokey.com/tag/北京航空航天大学计算中心软件开发部.html</w:t>
      </w:r>
    </w:p>
    <w:p>
      <w:r>
        <w:t>关键词搜索：https://www.jiaokey.com/tag/Turbo Pascal 5.0 下 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