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21世纪中国公民教育的机遇与挑战</w:t>
      </w:r>
    </w:p>
    <w:p>
      <w:r>
        <w:rPr>
          <w:rFonts w:ascii="宋体" w:hAnsi="宋体" w:eastAsia="宋体"/>
          <w:sz w:val="24"/>
        </w:rPr>
        <w:t>香港特别行政区民政事务局，香港公民教育委员会，郑州大学公民教育研究中心编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21世纪中国公民教育的机遇与挑战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香港特别行政区民政事务局，香港公民教育委员会，郑州大学公民教育研究中心编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本书出售、求购地址：https://www.jiaokey.com/book/detail/12091068.html</w:t>
      </w:r>
    </w:p>
    <w:p>
      <w:r>
        <w:t>更多相关图书推荐：https://www.jiaokey.com</w:t>
      </w:r>
    </w:p>
    <w:p>
      <w:r>
        <w:t>香港特别行政区民政事务局，香港公民教育委员会，郑州大学公民教育研究中心编 其他作品：https://www.jiaokey.com/tag/香港特别行政区民政事务局，香港公民教育委员会，郑州大学公民教育研究中心编.html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关键词搜索：https://www.jiaokey.com/tag/21世纪中国公民教育的机遇与挑战.html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