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</w:t>
      </w:r>
    </w:p>
    <w:p>
      <w:r>
        <w:rPr>
          <w:rFonts w:ascii="宋体" w:hAnsi="宋体" w:eastAsia="宋体"/>
          <w:sz w:val="24"/>
        </w:rPr>
        <w:t>（美）Alfred V. Aho等著，赵建华，郑滔，戴新宇译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（美）Alfred V. Aho等著，赵建华，郑滔，戴新宇译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本书出售、求购地址：https://www.jiaokey.com/book/detail/12089451.html</w:t>
      </w:r>
    </w:p>
    <w:p>
      <w:r>
        <w:t>更多相关图书推荐：https://www.jiaokey.com</w:t>
      </w:r>
    </w:p>
    <w:p>
      <w:r>
        <w:t>（美）Alfred V. Aho等著，赵建华，郑滔，戴新宇译 其他作品：https://www.jiaokey.com/tag/（美）Alfred V. Aho等著，赵建华，郑滔，戴新宇译.html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关键词搜索：https://www.jiaokey.com/tag/编译原理.html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