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国外水轮发电机总体布置图册  第一分册  常规水轮发电机</w:t>
      </w:r>
    </w:p>
    <w:p>
      <w:r>
        <w:rPr>
          <w:rFonts w:ascii="宋体" w:hAnsi="宋体" w:eastAsia="宋体"/>
          <w:sz w:val="24"/>
        </w:rPr>
        <w:t>戴庆忠编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国外水轮发电机总体布置图册  第一分册  常规水轮发电机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东方电机厂；德阳水轮机电机研究所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本书出售、求购地址：https://www.jiaokey.com/book/detail/12089195.html</w:t>
      </w:r>
    </w:p>
    <w:p>
      <w:r>
        <w:t>更多相关图书推荐：https://www.jiaokey.com</w:t>
      </w:r>
    </w:p>
    <w:p>
      <w:r>
        <w:t>戴庆忠编 其他作品：https://www.jiaokey.com/tag/戴庆忠编.html</w:t>
      </w:r>
    </w:p>
    <w:p>
      <w:r>
        <w:t>东方电机厂；德阳水轮机电机研究所 出版图书：https://www.jiaokey.com/tag/东方电机厂；德阳水轮机电机研究所.html</w:t>
      </w:r>
    </w:p>
    <w:p>
      <w:r>
        <w:t>关键词搜索：https://www.jiaokey.com/tag/国外水轮发电机总体布置图册  第一分册  常规水轮发电机.html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