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80386/387体系分析</w:t>
      </w:r>
    </w:p>
    <w:p>
      <w:r>
        <w:rPr>
          <w:rFonts w:ascii="宋体" w:hAnsi="宋体" w:eastAsia="宋体"/>
          <w:sz w:val="24"/>
        </w:rPr>
        <w:t>中国科学院希望高级电脑技术公司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80386/387体系分析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本书出售、求购地址：https://www.jiaokey.com/book/detail/12089110.html</w:t>
      </w:r>
    </w:p>
    <w:p>
      <w:r>
        <w:t>更多相关图书推荐：https://www.jiaokey.com</w:t>
      </w:r>
    </w:p>
    <w:p>
      <w:r>
        <w:t>中国科学院希望高级电脑技术公司 其他作品：https://www.jiaokey.com/tag/中国科学院希望高级电脑技术公司.html</w:t>
      </w:r>
    </w:p>
    <w:p>
      <w:r>
        <w:t>关键词搜索：https://www.jiaokey.com/tag/80386/387体系分析.html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