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同等学力人员申请硕士学位管理科学与工程学科综合水平全国统一考试大纲及指南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同等学力人员申请硕士学位管理科学与工程学科综合水平全国统一考试大纲及指南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551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本书出售、求购地址：https://www.jiaokey.com/book/detail/12088644.html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关键词搜索：https://www.jiaokey.com/tag/同等学力人员申请硕士学位管理科学与工程学科综合水平全国统一考试大纲及指南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