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梁辰鱼研究</w:t>
      </w:r>
    </w:p>
    <w:p>
      <w:r>
        <w:rPr>
          <w:rFonts w:ascii="宋体" w:hAnsi="宋体" w:eastAsia="宋体"/>
          <w:sz w:val="24"/>
        </w:rPr>
        <w:t>黎国韬，周佩文编著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6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梁辰鱼研究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黎国韬，周佩文编著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梁辰鱼-人物研究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本书出售、求购地址：https://www.jiaokey.com/book/detail/12086527.html</w:t>
      </w:r>
    </w:p>
    <w:p>
      <w:r>
        <w:t>更多相关图书推荐：https://www.jiaokey.com</w:t>
      </w:r>
    </w:p>
    <w:p>
      <w:r>
        <w:t>黎国韬，周佩文编著 其他作品：https://www.jiaokey.com/tag/黎国韬，周佩文编著.html</w:t>
      </w:r>
    </w:p>
    <w:p>
      <w:r>
        <w:t>广州:中山大学出版社,2007.12 出版图书：https://www.jiaokey.com/tag/广州:中山大学出版社,2007.12.html</w:t>
      </w:r>
    </w:p>
    <w:p>
      <w:r>
        <w:t>关键词搜索：https://www.jiaokey.com/tag/梁辰鱼-人物研究.html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