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欧盟REACH法规100问</w:t>
      </w:r>
    </w:p>
    <w:p>
      <w:r>
        <w:rPr>
          <w:rFonts w:ascii="宋体" w:hAnsi="宋体" w:eastAsia="宋体"/>
          <w:sz w:val="24"/>
        </w:rPr>
        <w:t>中国石化应对欧盟REACH法规工作领导小组办公室，中国石油化工集团公司经济技术研究院编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欧盟REACH法规100问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中国石化应对欧盟REACH法规工作领导小组办公室，中国石油化工集团公司经济技术研究院编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本书出售、求购地址：https://www.jiaokey.com/book/detail/12086519.html</w:t>
      </w:r>
    </w:p>
    <w:p>
      <w:r>
        <w:t>更多相关图书推荐：https://www.jiaokey.com</w:t>
      </w:r>
    </w:p>
    <w:p>
      <w:r>
        <w:t>中国石化应对欧盟REACH法规工作领导小组办公室，中国石油化工集团公司经济技术研究院编 其他作品：https://www.jiaokey.com/tag/中国石化应对欧盟REACH法规工作领导小组办公室，中国石油化工集团公司经济技术研究院编.html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关键词搜索：https://www.jiaokey.com/tag/欧盟REACH法规100问.html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