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涉外经济贸易的诉讼与仲裁</w:t>
      </w:r>
    </w:p>
    <w:p>
      <w:r>
        <w:rPr>
          <w:rFonts w:ascii="宋体" w:hAnsi="宋体" w:eastAsia="宋体"/>
          <w:sz w:val="24"/>
        </w:rPr>
        <w:t>董立坤，卢绳祖著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涉外经济贸易的诉讼与仲裁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董立坤，卢绳祖著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本书出售、求购地址：https://www.jiaokey.com/book/detail/12082121.html</w:t>
      </w:r>
    </w:p>
    <w:p>
      <w:r>
        <w:t>更多相关图书推荐：https://www.jiaokey.com</w:t>
      </w:r>
    </w:p>
    <w:p>
      <w:r>
        <w:t>董立坤，卢绳祖著 其他作品：https://www.jiaokey.com/tag/董立坤，卢绳祖著.html</w:t>
      </w:r>
    </w:p>
    <w:p>
      <w:r>
        <w:t>上海市：同济大学出版社 出版图书：https://www.jiaokey.com/tag/上海市：同济大学出版社.html</w:t>
      </w:r>
    </w:p>
    <w:p>
      <w:r>
        <w:t>关键词搜索：https://www.jiaokey.com/tag/涉外经济贸易的诉讼与仲裁.html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