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近代中国女权论述  国族、翻译与性别政治</w:t>
      </w:r>
    </w:p>
    <w:p>
      <w:r>
        <w:rPr>
          <w:rFonts w:ascii="宋体" w:hAnsi="宋体" w:eastAsia="宋体"/>
          <w:sz w:val="24"/>
        </w:rPr>
        <w:t>刘人鹏著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近代中国女权论述  国族、翻译与性别政治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本书出售、求购地址：https://www.jiaokey.com/book/detail/12080709.html</w:t>
      </w:r>
    </w:p>
    <w:p>
      <w:r>
        <w:t>更多相关图书推荐：https://www.jiaokey.com</w:t>
      </w:r>
    </w:p>
    <w:p>
      <w:r>
        <w:t>刘人鹏著 其他作品：https://www.jiaokey.com/tag/刘人鹏著.html</w:t>
      </w:r>
    </w:p>
    <w:p>
      <w:r>
        <w:t>台湾学生书局 出版图书：https://www.jiaokey.com/tag/台湾学生书局.html</w:t>
      </w:r>
    </w:p>
    <w:p>
      <w:r>
        <w:t>关键词搜索：https://www.jiaokey.com/tag/近代中国女权论述  国族、翻译与性别政治.html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