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书名：新型工业化条件下的山西煤炭企业核心竞争力的研究</w:t>
      </w:r>
    </w:p>
    <w:p>
      <w:r>
        <w:t>作者：张洪潮著</w:t>
      </w:r>
    </w:p>
    <w:p>
      <w:r>
        <w:t>出版社：北京：中国广播电视出版社</w:t>
      </w:r>
    </w:p>
    <w:p>
      <w:r>
        <w:t>出版日期：2007.12</w:t>
      </w:r>
    </w:p>
    <w:p>
      <w:r>
        <w:t>总页数：260</w:t>
      </w:r>
    </w:p>
    <w:p>
      <w:r>
        <w:t>更多请访问教客网: www.jiaokey.com</w:t>
      </w:r>
    </w:p>
    <w:p>
      <w:r>
        <w:t>新型工业化条件下的山西煤炭企业核心竞争力的研究 评论地址：https://www.jiaokey.com/book/detail/12078025.html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