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</w:t>
      </w:r>
    </w:p>
    <w:p>
      <w:r>
        <w:rPr>
          <w:rFonts w:ascii="宋体" w:hAnsi="宋体" w:eastAsia="宋体"/>
          <w:sz w:val="24"/>
        </w:rPr>
        <w:t>（罗）比安什（Bianchi，A.），（法）福泰勒（Fautrelle，Y.），（法）埃黛（Etay，J.）著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（罗）比安什（Bianchi，A.），（法）福泰勒（Fautrelle，Y.），（法）埃黛（Etay，J.）著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本书出售、求购地址：https://www.jiaokey.com/book/detail/12076990.html</w:t>
      </w:r>
    </w:p>
    <w:p>
      <w:r>
        <w:t>更多相关图书推荐：https://www.jiaokey.com</w:t>
      </w:r>
    </w:p>
    <w:p>
      <w:r>
        <w:t>（罗）比安什（Bianchi，A.），（法）福泰勒（Fautrelle，Y.），（法）埃黛（Etay，J.）著 其他作品：https://www.jiaokey.com/tag/（罗）比安什（Bianchi，A.），（法）福泰勒（Fautrelle，Y.），（法）埃黛（Etay，J.）著.html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