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</w:t>
      </w:r>
    </w:p>
    <w:p>
      <w:r>
        <w:rPr>
          <w:rFonts w:ascii="宋体" w:hAnsi="宋体" w:eastAsia="宋体"/>
          <w:sz w:val="24"/>
        </w:rPr>
        <w:t>（日）野中郁次郎，（日）寺本义也编；殷长生，邱明晔译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（日）野中郁次郎，（日）寺本义也编；殷长生，邱明晔译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本书出售、求购地址：https://www.jiaokey.com/book/detail/12072613.html</w:t>
      </w:r>
    </w:p>
    <w:p>
      <w:r>
        <w:t>更多相关图书推荐：https://www.jiaokey.com</w:t>
      </w:r>
    </w:p>
    <w:p>
      <w:r>
        <w:t>（日）野中郁次郎，（日）寺本义也编；殷长生，邱明晔译 其他作品：https://www.jiaokey.com/tag/（日）野中郁次郎，（日）寺本义也编；殷长生，邱明晔译.html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