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存证信函之运用法律权益  不动产篇</w:t>
      </w:r>
    </w:p>
    <w:p>
      <w:r>
        <w:rPr>
          <w:rFonts w:ascii="宋体" w:hAnsi="宋体" w:eastAsia="宋体"/>
          <w:sz w:val="24"/>
        </w:rPr>
        <w:t>李永然律师著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存证信函之运用法律权益  不动产篇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台湾：永然文化出版社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本书出售、求购地址：https://www.jiaokey.com/book/detail/12063802.html</w:t>
      </w:r>
    </w:p>
    <w:p>
      <w:r>
        <w:t>更多相关图书推荐：https://www.jiaokey.com</w:t>
      </w:r>
    </w:p>
    <w:p>
      <w:r>
        <w:t>李永然律师著 其他作品：https://www.jiaokey.com/tag/李永然律师著.html</w:t>
      </w:r>
    </w:p>
    <w:p>
      <w:r>
        <w:t>台湾：永然文化出版社 出版图书：https://www.jiaokey.com/tag/台湾：永然文化出版社.html</w:t>
      </w:r>
    </w:p>
    <w:p>
      <w:r>
        <w:t>关键词搜索：https://www.jiaokey.com/tag/存证信函之运用法律权益  不动产篇.html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