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金牌户型：最多地产巨头角斗场</w:t>
      </w:r>
    </w:p>
    <w:p>
      <w:r>
        <w:rPr>
          <w:rFonts w:ascii="宋体" w:hAnsi="宋体" w:eastAsia="宋体"/>
          <w:sz w:val="24"/>
        </w:rPr>
        <w:t>南方都市报黄金楼市，决策资源房地产研究中心编著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金牌户型：最多地产巨头角斗场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南方都市报黄金楼市，决策资源房地产研究中心编著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本书出售、求购地址：https://www.jiaokey.com/book/detail/12061901.html</w:t>
      </w:r>
    </w:p>
    <w:p>
      <w:r>
        <w:t>更多相关图书推荐：https://www.jiaokey.com</w:t>
      </w:r>
    </w:p>
    <w:p>
      <w:r>
        <w:t>南方都市报黄金楼市，决策资源房地产研究中心编著 其他作品：https://www.jiaokey.com/tag/南方都市报黄金楼市，决策资源房地产研究中心编著.html</w:t>
      </w:r>
    </w:p>
    <w:p>
      <w:r>
        <w:t>大连理工大学出版社 出版图书：https://www.jiaokey.com/tag/大连理工大学出版社.html</w:t>
      </w:r>
    </w:p>
    <w:p>
      <w:r>
        <w:t>关键词搜索：https://www.jiaokey.com/tag/金牌户型：最多地产巨头角斗场.html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