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当机立断致胜术</w:t>
      </w:r>
    </w:p>
    <w:p>
      <w:r>
        <w:rPr>
          <w:rFonts w:ascii="宋体" w:hAnsi="宋体" w:eastAsia="宋体"/>
          <w:sz w:val="24"/>
        </w:rPr>
        <w:t>（美）芬斯特海姆（Fensterheim，H.）著；刘文荣，今 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当机立断致胜术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（美）芬斯特海姆（Fensterheim，H.）著；刘文荣，今 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本书出售、求购地址：https://www.jiaokey.com/book/detail/12061424.html</w:t>
      </w:r>
    </w:p>
    <w:p>
      <w:r>
        <w:t>更多相关图书推荐：https://www.jiaokey.com</w:t>
      </w:r>
    </w:p>
    <w:p>
      <w:r>
        <w:t>（美）芬斯特海姆（Fensterheim，H.）著；刘文荣，今 夫译 其他作品：https://www.jiaokey.com/tag/（美）芬斯特海姆（Fensterheim，H.）著；刘文荣，今 夫译.html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关键词搜索：https://www.jiaokey.com/tag/当机立断致胜术.html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