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中小企业经营管理原则</w:t>
      </w:r>
    </w:p>
    <w:p>
      <w:r>
        <w:rPr>
          <w:rFonts w:ascii="宋体" w:hAnsi="宋体" w:eastAsia="宋体"/>
          <w:sz w:val="24"/>
        </w:rPr>
        <w:t>（美）麦克洁林 W.N.著）（ 黄剑虹译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（美）麦克洁林 W.N.著）（ 黄剑虹译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本书出售、求购地址：https://www.jiaokey.com/book/detail/12061025.html</w:t>
      </w:r>
    </w:p>
    <w:p>
      <w:r>
        <w:t>更多相关图书推荐：https://www.jiaokey.com</w:t>
      </w:r>
    </w:p>
    <w:p>
      <w:r>
        <w:t>（美）麦克洁林 W.N.著）（ 黄剑虹译 其他作品：https://www.jiaokey.com/tag/（美）麦克洁林 W.N.著）（ 黄剑虹译.html</w:t>
      </w:r>
    </w:p>
    <w:p>
      <w:r>
        <w:t>徐氏基金会 出版图书：https://www.jiaokey.com/tag/徐氏基金会.html</w:t>
      </w:r>
    </w:p>
    <w:p>
      <w:r>
        <w:t>关键词搜索：https://www.jiaokey.com/tag/中小企业经营管理原则.html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