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对应急和事故受照工作人员处理的原则和一般性程序</w:t>
      </w:r>
    </w:p>
    <w:p>
      <w:r>
        <w:rPr>
          <w:rFonts w:ascii="宋体" w:hAnsi="宋体" w:eastAsia="宋体"/>
          <w:sz w:val="24"/>
        </w:rPr>
        <w:t>刘曾鼎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对应急和事故受照工作人员处理的原则和一般性程序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本书出售、求购地址：https://www.jiaokey.com/book/detail/12058262.html</w:t>
      </w:r>
    </w:p>
    <w:p>
      <w:r>
        <w:t>更多相关图书推荐：https://www.jiaokey.com</w:t>
      </w:r>
    </w:p>
    <w:p>
      <w:r>
        <w:t>刘曾鼎 其他作品：https://www.jiaokey.com/tag/刘曾鼎.html</w:t>
      </w:r>
    </w:p>
    <w:p>
      <w:r>
        <w:t>关键词搜索：https://www.jiaokey.com/tag/对应急和事故受照工作人员处理的原则和一般性程序.html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