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书名：中国医院产权制度改革操作技巧</w:t>
      </w:r>
    </w:p>
    <w:p>
      <w:r>
        <w:t>作者：杜乐勋，张文鸣主编；国家科技部软科学项目《国有医院产权制度改革研究》课题组，中国卫生产业杂志社编</w:t>
      </w:r>
    </w:p>
    <w:p>
      <w:r>
        <w:t>出版社：北京：中国协和医科大学出版社</w:t>
      </w:r>
    </w:p>
    <w:p>
      <w:r>
        <w:t>出版日期：2004.10</w:t>
      </w:r>
    </w:p>
    <w:p>
      <w:r>
        <w:t>总页数：505</w:t>
      </w:r>
    </w:p>
    <w:p>
      <w:r>
        <w:t>更多请访问教客网: www.jiaokey.com</w:t>
      </w:r>
    </w:p>
    <w:p>
      <w:r>
        <w:t>中国医院产权制度改革操作技巧 评论地址：https://www.jiaokey.com/book/detail/12056315.html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