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荷马诸问题</w:t>
      </w:r>
    </w:p>
    <w:p>
      <w:r>
        <w:rPr>
          <w:rFonts w:ascii="宋体" w:hAnsi="宋体" w:eastAsia="宋体"/>
          <w:sz w:val="24"/>
        </w:rPr>
        <w:t>（匈）纳吉（Nagy，G.）著；巴莫曲布嫫译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（匈）纳吉（Nagy，G.）著；巴莫曲布嫫译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本书出售、求购地址：https://www.jiaokey.com/book/detail/12053425.html</w:t>
      </w:r>
    </w:p>
    <w:p>
      <w:r>
        <w:t>更多相关图书推荐：https://www.jiaokey.com</w:t>
      </w:r>
    </w:p>
    <w:p>
      <w:r>
        <w:t>（匈）纳吉（Nagy，G.）著；巴莫曲布嫫译 其他作品：https://www.jiaokey.com/tag/（匈）纳吉（Nagy，G.）著；巴莫曲布嫫译.html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关键词搜索：https://www.jiaokey.com/tag/荷马诸问题.html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