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有（与）存在  通过“存在”而重读中国传统之“形而上”者</w:t>
      </w:r>
    </w:p>
    <w:p>
      <w:r>
        <w:rPr>
          <w:rFonts w:ascii="宋体" w:hAnsi="宋体" w:eastAsia="宋体"/>
          <w:sz w:val="24"/>
        </w:rPr>
        <w:t>伍晓明著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有（与）存在  通过“存在”而重读中国传统之“形而上”者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本书出售、求购地址：https://www.jiaokey.com/book/detail/12051170.html</w:t>
      </w:r>
    </w:p>
    <w:p>
      <w:r>
        <w:t>更多相关图书推荐：https://www.jiaokey.com</w:t>
      </w:r>
    </w:p>
    <w:p>
      <w:r>
        <w:t>伍晓明著 其他作品：https://www.jiaokey.com/tag/伍晓明著.html</w:t>
      </w:r>
    </w:p>
    <w:p>
      <w:r>
        <w:t>关键词搜索：https://www.jiaokey.com/tag/有（与）存在  通过“存在”而重读中国传统之“形而上”者.html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