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知识经济与建筑管理</w:t>
      </w:r>
    </w:p>
    <w:p>
      <w:r>
        <w:rPr>
          <w:rFonts w:ascii="宋体" w:hAnsi="宋体" w:eastAsia="宋体"/>
          <w:sz w:val="24"/>
        </w:rPr>
        <w:t>姚兵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9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知识经济与建筑管理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同济大学建设管理与房地产系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本书出售、求购地址：https://www.jiaokey.com/book/detail/12049547.html</w:t>
      </w:r>
    </w:p>
    <w:p>
      <w:r>
        <w:t>更多相关图书推荐：https://www.jiaokey.com</w:t>
      </w:r>
    </w:p>
    <w:p>
      <w:r>
        <w:t>姚兵 其他作品：https://www.jiaokey.com/tag/姚兵.html</w:t>
      </w:r>
    </w:p>
    <w:p>
      <w:r>
        <w:t>同济大学建设管理与房地产系 出版图书：https://www.jiaokey.com/tag/同济大学建设管理与房地产系.html</w:t>
      </w:r>
    </w:p>
    <w:p>
      <w:r>
        <w:t>关键词搜索：https://www.jiaokey.com/tag/知识经济与建筑管理.html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