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税收业务规范管理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税收业务规范管理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本书出售、求购地址：https://www.jiaokey.com/book/detail/12047952.html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关键词搜索：https://www.jiaokey.com/tag/税收业务规范管理.html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