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制度管理</w:t>
      </w:r>
    </w:p>
    <w:p>
      <w:r>
        <w:rPr>
          <w:rFonts w:ascii="宋体" w:hAnsi="宋体" w:eastAsia="宋体"/>
          <w:sz w:val="24"/>
        </w:rPr>
        <w:t>王宏江,陈振飞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制度管理</w:t>
            </w:r>
          </w:p>
        </w:tc>
      </w:tr>
      <w:tr>
        <w:tc>
          <w:tcPr>
            <w:tcW w:type="dxa" w:w="4320"/>
          </w:tcPr>
          <w:p>
            <w:r>
              <w:t>作者</w:t>
            </w:r>
          </w:p>
        </w:tc>
        <w:tc>
          <w:tcPr>
            <w:tcW w:type="dxa" w:w="4320"/>
          </w:tcPr>
          <w:p>
            <w:r>
              <w:t>王宏江,陈振飞</w:t>
            </w:r>
          </w:p>
        </w:tc>
      </w:tr>
      <w:tr>
        <w:tc>
          <w:tcPr>
            <w:tcW w:type="dxa" w:w="4320"/>
          </w:tcPr>
          <w:p>
            <w:r>
              <w:t>出版社</w:t>
            </w:r>
          </w:p>
        </w:tc>
        <w:tc>
          <w:tcPr>
            <w:tcW w:type="dxa" w:w="4320"/>
          </w:tcPr>
          <w:p>
            <w:r>
              <w:t>北京：中国水利水电出版社</w:t>
            </w:r>
          </w:p>
        </w:tc>
      </w:tr>
      <w:tr>
        <w:tc>
          <w:tcPr>
            <w:tcW w:type="dxa" w:w="4320"/>
          </w:tcPr>
          <w:p>
            <w:r>
              <w:t>ISBN</w:t>
            </w:r>
          </w:p>
        </w:tc>
        <w:tc>
          <w:tcPr>
            <w:tcW w:type="dxa" w:w="4320"/>
          </w:tcPr>
          <w:p>
            <w:r>
              <w:t>9787508454856</w:t>
            </w:r>
          </w:p>
        </w:tc>
      </w:tr>
      <w:tr>
        <w:tc>
          <w:tcPr>
            <w:tcW w:type="dxa" w:w="4320"/>
          </w:tcPr>
          <w:p>
            <w:r>
              <w:t>出版日期</w:t>
            </w:r>
          </w:p>
        </w:tc>
        <w:tc>
          <w:tcPr>
            <w:tcW w:type="dxa" w:w="4320"/>
          </w:tcPr>
          <w:p>
            <w:r>
              <w:t>2008-05-01</w:t>
            </w:r>
          </w:p>
        </w:tc>
      </w:tr>
      <w:tr>
        <w:tc>
          <w:tcPr>
            <w:tcW w:type="dxa" w:w="4320"/>
          </w:tcPr>
          <w:p>
            <w:r>
              <w:t>页数</w:t>
            </w:r>
          </w:p>
        </w:tc>
        <w:tc>
          <w:tcPr>
            <w:tcW w:type="dxa" w:w="4320"/>
          </w:tcPr>
          <w:p>
            <w:r>
              <w:t>301</w:t>
            </w:r>
          </w:p>
        </w:tc>
      </w:tr>
      <w:tr>
        <w:tc>
          <w:tcPr>
            <w:tcW w:type="dxa" w:w="4320"/>
          </w:tcPr>
          <w:p>
            <w:r>
              <w:t>价格</w:t>
            </w:r>
          </w:p>
        </w:tc>
        <w:tc>
          <w:tcPr>
            <w:tcW w:type="dxa" w:w="4320"/>
          </w:tcPr>
          <w:p>
            <w:r/>
          </w:p>
        </w:tc>
      </w:tr>
      <w:tr>
        <w:tc>
          <w:tcPr>
            <w:tcW w:type="dxa" w:w="4320"/>
          </w:tcPr>
          <w:p>
            <w:r>
              <w:t>关键词</w:t>
            </w:r>
          </w:p>
        </w:tc>
        <w:tc>
          <w:tcPr>
            <w:tcW w:type="dxa" w:w="4320"/>
          </w:tcPr>
          <w:p>
            <w:r>
              <w:t>引水-水利工程-企业管理制度-中国</w:t>
            </w:r>
          </w:p>
        </w:tc>
      </w:tr>
      <w:tr>
        <w:tc>
          <w:tcPr>
            <w:tcW w:type="dxa" w:w="4320"/>
          </w:tcPr>
          <w:p>
            <w:r>
              <w:t>分类</w:t>
            </w:r>
          </w:p>
        </w:tc>
        <w:tc>
          <w:tcPr>
            <w:tcW w:type="dxa" w:w="4320"/>
          </w:tcPr>
          <w:p>
            <w:r>
              <w:t>工业部门经济</w:t>
            </w:r>
          </w:p>
        </w:tc>
      </w:tr>
    </w:tbl>
    <w:p/>
    <w:p>
      <w:pPr>
        <w:pStyle w:val="Heading1"/>
      </w:pPr>
      <w:r>
        <w:t>图书介绍</w:t>
      </w:r>
    </w:p>
    <w:p>
      <w:r>
        <w:t>引滦管理制度体系主要是从岗位人员日常管理和全面落实各项管理工作的角度出发，对岗位人员的日常管理行为作必要的规范和强调，对落实各项管理标准或任务作必要的补充和说明，从而确保我们的岗位管理人员能够自觉按照引滦日常管理的相关规程规范、规则规定等统一行动和开展工作，为实现引滦发展战略和各项工作目标提供辅助支持。</w:t>
      </w:r>
    </w:p>
    <w:p/>
    <w:p>
      <w:r>
        <w:t>本书出售、求购地址：https://www.jiaokey.com/book/detail/12047948.html</w:t>
      </w:r>
    </w:p>
    <w:p>
      <w:r>
        <w:t>更多工业部门经济图书推荐：https://www.jiaokey.com</w:t>
      </w:r>
    </w:p>
    <w:p>
      <w:r>
        <w:t>王宏江,陈振飞 其他作品：https://www.jiaokey.com/tag/王宏江,陈振飞.html</w:t>
      </w:r>
    </w:p>
    <w:p>
      <w:r>
        <w:t>北京：中国水利水电出版社 出版图书：https://www.jiaokey.com/tag/北京：中国水利水电出版社.html</w:t>
      </w:r>
    </w:p>
    <w:p>
      <w:r>
        <w:t>关键词搜索：https://www.jiaokey.com/tag/引水-水利工程-企业管理制度-中国.html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