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  草  工程的持续推进  农户补偿、自我发展与政府支持</w:t>
      </w:r>
    </w:p>
    <w:p>
      <w:r>
        <w:rPr>
          <w:rFonts w:ascii="宋体" w:hAnsi="宋体" w:eastAsia="宋体"/>
          <w:sz w:val="24"/>
        </w:rPr>
        <w:t>杨明洪著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  草  工程的持续推进  农户补偿、自我发展与政府支持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本书出售、求购地址：https://www.jiaokey.com/book/detail/12044511.html</w:t>
      </w:r>
    </w:p>
    <w:p>
      <w:r>
        <w:t>更多相关图书推荐：https://www.jiaokey.com</w:t>
      </w:r>
    </w:p>
    <w:p>
      <w:r>
        <w:t>杨明洪著 其他作品：https://www.jiaokey.com/tag/杨明洪著.html</w:t>
      </w:r>
    </w:p>
    <w:p>
      <w:r>
        <w:t>成都：巴蜀书社 出版图书：https://www.jiaokey.com/tag/成都：巴蜀书社.html</w:t>
      </w:r>
    </w:p>
    <w:p>
      <w:r>
        <w:t>关键词搜索：https://www.jiaokey.com/tag/退耕还林  草  工程的持续推进  农户补偿、自我发展与政府支持.html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