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重塑政府与社会  郑州市金水区税源经济体系建设的理论与实践</w:t>
      </w:r>
    </w:p>
    <w:p>
      <w:r>
        <w:rPr>
          <w:rFonts w:ascii="宋体" w:hAnsi="宋体" w:eastAsia="宋体"/>
          <w:sz w:val="24"/>
        </w:rPr>
        <w:t>国家行政学院学报、中国行政管理学会小康工程课题组编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重塑政府与社会  郑州市金水区税源经济体系建设的理论与实践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国家行政学院学报、中国行政管理学会小康工程课题组编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税收制度-研究-中国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本书出售、求购地址：https://www.jiaokey.com/book/detail/12044450.html</w:t>
      </w:r>
    </w:p>
    <w:p>
      <w:r>
        <w:t>更多相关图书推荐：https://www.jiaokey.com</w:t>
      </w:r>
    </w:p>
    <w:p>
      <w:r>
        <w:t>国家行政学院学报、中国行政管理学会小康工程课题组编 其他作品：https://www.jiaokey.com/tag/国家行政学院学报、中国行政管理学会小康工程课题组编.html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关键词搜索：https://www.jiaokey.com/tag/税收制度-研究-中国.html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