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典当经营案例</w:t>
      </w:r>
    </w:p>
    <w:p>
      <w:r>
        <w:rPr>
          <w:rFonts w:ascii="宋体" w:hAnsi="宋体" w:eastAsia="宋体"/>
          <w:sz w:val="24"/>
        </w:rPr>
        <w:t>危惊涛，翟瑞麟，袁敬之编著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732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04423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732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典当经营案例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危惊涛，翟瑞麟，袁敬之编著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典当业-案例-分析-中国-典当业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本书出售、求购地址：https://www.jiaokey.com/book/detail/12044237.html</w:t>
      </w:r>
    </w:p>
    <w:p>
      <w:r>
        <w:t>更多相关图书推荐：https://www.jiaokey.com</w:t>
      </w:r>
    </w:p>
    <w:p>
      <w:r>
        <w:t>危惊涛，翟瑞麟，袁敬之编著 其他作品：https://www.jiaokey.com/tag/危惊涛，翟瑞麟，袁敬之编著.html</w:t>
      </w:r>
    </w:p>
    <w:p>
      <w:r>
        <w:t>武汉：武汉出版社 出版图书：https://www.jiaokey.com/tag/武汉：武汉出版社.html</w:t>
      </w:r>
    </w:p>
    <w:p>
      <w:r>
        <w:t>关键词搜索：https://www.jiaokey.com/tag/典当业-案例-分析-中国-典当业.html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