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公司法理论与判决研究  四</w:t>
      </w:r>
    </w:p>
    <w:p>
      <w:r>
        <w:rPr>
          <w:rFonts w:ascii="宋体" w:hAnsi="宋体" w:eastAsia="宋体"/>
          <w:sz w:val="24"/>
        </w:rPr>
        <w:t>刘连煜著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公司法理论与判决研究  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刘连煜著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本书出售、求购地址：https://www.jiaokey.com/book/detail/12043371.html</w:t>
      </w:r>
    </w:p>
    <w:p>
      <w:r>
        <w:t>更多相关图书推荐：https://www.jiaokey.com</w:t>
      </w:r>
    </w:p>
    <w:p>
      <w:r>
        <w:t>刘连煜著 其他作品：https://www.jiaokey.com/tag/刘连煜著.html</w:t>
      </w:r>
    </w:p>
    <w:p>
      <w:r>
        <w:t>元照出版公司 出版图书：https://www.jiaokey.com/tag/元照出版公司.html</w:t>
      </w:r>
    </w:p>
    <w:p>
      <w:r>
        <w:t>关键词搜索：https://www.jiaokey.com/tag/公司法理论与判决研究  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