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现金流量表的编制、分析与审计</w:t>
      </w:r>
    </w:p>
    <w:p>
      <w:r>
        <w:rPr>
          <w:rFonts w:ascii="宋体" w:hAnsi="宋体" w:eastAsia="宋体"/>
          <w:sz w:val="24"/>
        </w:rPr>
        <w:t>刘贵生，王剑波，唐超雄主编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现金流量表的编制、分析与审计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刘贵生，王剑波，唐超雄主编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本书出售、求购地址：https://www.jiaokey.com/book/detail/12030281.html</w:t>
      </w:r>
    </w:p>
    <w:p>
      <w:r>
        <w:t>更多相关图书推荐：https://www.jiaokey.com</w:t>
      </w:r>
    </w:p>
    <w:p>
      <w:r>
        <w:t>刘贵生，王剑波，唐超雄主编 其他作品：https://www.jiaokey.com/tag/刘贵生，王剑波，唐超雄主编.html</w:t>
      </w:r>
    </w:p>
    <w:p>
      <w:r>
        <w:t>长沙：湖南电子音像出版社 出版图书：https://www.jiaokey.com/tag/长沙：湖南电子音像出版社.html</w:t>
      </w:r>
    </w:p>
    <w:p>
      <w:r>
        <w:t>关键词搜索：https://www.jiaokey.com/tag/现金流量表的编制、分析与审计.html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