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中国可持续能源  实施“十一五”20%节能目标的途径与措施研究</w:t>
      </w:r>
    </w:p>
    <w:p>
      <w:r>
        <w:rPr>
          <w:rFonts w:ascii="宋体" w:hAnsi="宋体" w:eastAsia="宋体"/>
          <w:sz w:val="24"/>
        </w:rPr>
        <w:t>《中国可持续能源实施“十一五”20%节能目标的途径与措施研究》课题组编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中国可持续能源  实施“十一五”20%节能目标的途径与措施研究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《中国可持续能源实施“十一五”20%节能目标的途径与措施研究》课题组编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本书出售、求购地址：https://www.jiaokey.com/book/detail/12029195.html</w:t>
      </w:r>
    </w:p>
    <w:p>
      <w:r>
        <w:t>更多相关图书推荐：https://www.jiaokey.com</w:t>
      </w:r>
    </w:p>
    <w:p>
      <w:r>
        <w:t>《中国可持续能源实施“十一五”20%节能目标的途径与措施研究》课题组编 其他作品：https://www.jiaokey.com/tag/《中国可持续能源实施“十一五”20%节能目标的途径与措施研究》课题组编.html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关键词搜索：https://www.jiaokey.com/tag/中国可持续能源  实施“十一五”20%节能目标的途径与措施研究.html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