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半公营机构  趋势、原因、结果</w:t>
      </w:r>
    </w:p>
    <w:p>
      <w:r>
        <w:rPr>
          <w:rFonts w:ascii="宋体" w:hAnsi="宋体" w:eastAsia="宋体"/>
          <w:sz w:val="24"/>
        </w:rPr>
        <w:t>（荷）桑德拉·凡·蒂尔著；汪洋，何志平，张西勇译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半公营机构  趋势、原因、结果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（荷）桑德拉·凡·蒂尔著；汪洋，何志平，张西勇译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本书出售、求购地址：https://www.jiaokey.com/book/detail/12023792.html</w:t>
      </w:r>
    </w:p>
    <w:p>
      <w:r>
        <w:t>更多相关图书推荐：https://www.jiaokey.com</w:t>
      </w:r>
    </w:p>
    <w:p>
      <w:r>
        <w:t>（荷）桑德拉·凡·蒂尔著；汪洋，何志平，张西勇译 其他作品：https://www.jiaokey.com/tag/（荷）桑德拉·凡·蒂尔著；汪洋，何志平，张西勇译.html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关键词搜索：https://www.jiaokey.com/tag/半公营机构  趋势、原因、结果.html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