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问题形成和解决的原则</w:t>
      </w:r>
    </w:p>
    <w:p>
      <w:r>
        <w:rPr>
          <w:rFonts w:ascii="宋体" w:hAnsi="宋体" w:eastAsia="宋体"/>
          <w:sz w:val="24"/>
        </w:rPr>
        <w:t>（美）瓦茨拉维克，（美）威克兰，（美）费什著；郑村棋，夏林清译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问题形成和解决的原则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（美）瓦茨拉维克，（美）威克兰，（美）费什著；郑村棋，夏林清译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本书出售、求购地址：https://www.jiaokey.com/book/detail/12022075.html</w:t>
      </w:r>
    </w:p>
    <w:p>
      <w:r>
        <w:t>更多相关图书推荐：https://www.jiaokey.com</w:t>
      </w:r>
    </w:p>
    <w:p>
      <w:r>
        <w:t>（美）瓦茨拉维克，（美）威克兰，（美）费什著；郑村棋，夏林清译 其他作品：https://www.jiaokey.com/tag/（美）瓦茨拉维克，（美）威克兰，（美）费什著；郑村棋，夏林清译.html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关键词搜索：https://www.jiaokey.com/tag/改变  问题形成和解决的原则.html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