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</w:t>
      </w:r>
    </w:p>
    <w:p>
      <w:r>
        <w:rPr>
          <w:rFonts w:ascii="宋体" w:hAnsi="宋体" w:eastAsia="宋体"/>
          <w:sz w:val="24"/>
        </w:rPr>
        <w:t>赵汝珍编述；胡炳光等标点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赵汝珍编述；胡炳光等标点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本书出售、求购地址：https://www.jiaokey.com/book/detail/12012933.html</w:t>
      </w:r>
    </w:p>
    <w:p>
      <w:r>
        <w:t>更多相关图书推荐：https://www.jiaokey.com</w:t>
      </w:r>
    </w:p>
    <w:p>
      <w:r>
        <w:t>赵汝珍编述；胡炳光等标点 其他作品：https://www.jiaokey.com/tag/赵汝珍编述；胡炳光等标点.html</w:t>
      </w:r>
    </w:p>
    <w:p>
      <w:r>
        <w:t>北京：中国书店 出版图书：https://www.jiaokey.com/tag/北京：中国书店.html</w:t>
      </w:r>
    </w:p>
    <w:p>
      <w:r>
        <w:t>关键词搜索：https://www.jiaokey.com/tag/古玩指南.html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