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安装工程计价定额  下  C.5静置设备与工艺金属结构制作安装工程</w:t>
      </w:r>
    </w:p>
    <w:p>
      <w:r>
        <w:t>作者：辽宁省建设厅，辽宁省财政厅编</w:t>
      </w:r>
    </w:p>
    <w:p>
      <w:r>
        <w:t>出版社：沈阳:辽宁人民出版社,2008.01</w:t>
      </w:r>
    </w:p>
    <w:p>
      <w:r>
        <w:t>出版日期：</w:t>
      </w:r>
    </w:p>
    <w:p>
      <w:r>
        <w:t>总页数：1003</w:t>
      </w:r>
    </w:p>
    <w:p>
      <w:r>
        <w:t>更多请访问教客网: www.jiaokey.com</w:t>
      </w:r>
    </w:p>
    <w:p>
      <w:r>
        <w:t>辽宁省建设工程计价依据  安装工程计价定额  下  C.5静置设备与工艺金属结构制作安装工程 评论地址：https://www.jiaokey.com/book/detail/12007510.html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