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综合信息解译原理与矿产预测图编制方法</w:t>
      </w:r>
    </w:p>
    <w:p>
      <w:r>
        <w:rPr>
          <w:rFonts w:ascii="宋体" w:hAnsi="宋体" w:eastAsia="宋体"/>
          <w:sz w:val="24"/>
        </w:rPr>
        <w:t>王世称，王於天著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综合信息解译原理与矿产预测图编制方法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王世称，王於天著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本书出售、求购地址：https://www.jiaokey.com/book/detail/12004726.html</w:t>
      </w:r>
    </w:p>
    <w:p>
      <w:r>
        <w:t>更多相关图书推荐：https://www.jiaokey.com</w:t>
      </w:r>
    </w:p>
    <w:p>
      <w:r>
        <w:t>王世称，王於天著 其他作品：https://www.jiaokey.com/tag/王世称，王於天著.html</w:t>
      </w:r>
    </w:p>
    <w:p>
      <w:r>
        <w:t>吉林大学出版社 出版图书：https://www.jiaokey.com/tag/吉林大学出版社.html</w:t>
      </w:r>
    </w:p>
    <w:p>
      <w:r>
        <w:t>关键词搜索：https://www.jiaokey.com/tag/综合信息解译原理与矿产预测图编制方法.html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