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21世纪可持续发展的水战略</w:t>
      </w:r>
    </w:p>
    <w:p>
      <w:r>
        <w:rPr>
          <w:rFonts w:ascii="宋体" w:hAnsi="宋体" w:eastAsia="宋体"/>
          <w:sz w:val="24"/>
        </w:rPr>
        <w:t>（英）（A.K.比斯瓦斯）A.K.Biswas等编；郑丰，邹永庆译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21世纪可持续发展的水战略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（英）（A.K.比斯瓦斯）A.K.Biswas等编；郑丰，邹永庆译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本书出售、求购地址：https://www.jiaokey.com/book/detail/12002114.html</w:t>
      </w:r>
    </w:p>
    <w:p>
      <w:r>
        <w:t>更多相关图书推荐：https://www.jiaokey.com</w:t>
      </w:r>
    </w:p>
    <w:p>
      <w:r>
        <w:t>（英）（A.K.比斯瓦斯）A.K.Biswas等编；郑丰，邹永庆译 其他作品：https://www.jiaokey.com/tag/（英）（A.K.比斯瓦斯）A.K.Biswas等编；郑丰，邹永庆译.html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关键词搜索：https://www.jiaokey.com/tag/21世纪可持续发展的水战略.html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