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后形而上学现代性</w:t>
      </w:r>
    </w:p>
    <w:p>
      <w:r>
        <w:rPr>
          <w:rFonts w:ascii="宋体" w:hAnsi="宋体" w:eastAsia="宋体"/>
          <w:sz w:val="24"/>
        </w:rPr>
        <w:t>（德）韦尔默（Wellmer，A.）著；应奇，罗亚玲编译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后形而上学现代性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（德）韦尔默（Wellmer，A.）著；应奇，罗亚玲编译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本书出售、求购地址：https://www.jiaokey.com/book/detail/11998856.html</w:t>
      </w:r>
    </w:p>
    <w:p>
      <w:r>
        <w:t>更多相关图书推荐：https://www.jiaokey.com</w:t>
      </w:r>
    </w:p>
    <w:p>
      <w:r>
        <w:t>（德）韦尔默（Wellmer，A.）著；应奇，罗亚玲编译 其他作品：https://www.jiaokey.com/tag/（德）韦尔默（Wellmer，A.）著；应奇，罗亚玲编译.html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关键词搜索：https://www.jiaokey.com/tag/后形而上学现代性.html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