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把握变革</w:t>
      </w:r>
    </w:p>
    <w:p>
      <w:r>
        <w:rPr>
          <w:rFonts w:ascii="宋体" w:hAnsi="宋体" w:eastAsia="宋体"/>
          <w:sz w:val="24"/>
        </w:rPr>
        <w:t>（美）伊查克·爱迪思（Ichak Adizes）著；赵斌，陈苏译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（美）伊查克·爱迪思（Ichak Adizes）著；赵斌，陈苏译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本书出售、求购地址：https://www.jiaokey.com/book/detail/11996984.html</w:t>
      </w:r>
    </w:p>
    <w:p>
      <w:r>
        <w:t>更多相关图书推荐：https://www.jiaokey.com</w:t>
      </w:r>
    </w:p>
    <w:p>
      <w:r>
        <w:t>（美）伊查克·爱迪思（Ichak Adizes）著；赵斌，陈苏译 其他作品：https://www.jiaokey.com/tag/（美）伊查克·爱迪思（Ichak Adizes）著；赵斌，陈苏译.html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关键词搜索：https://www.jiaokey.com/tag/把握变革.html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