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实用BASIC程序100例  2</w:t>
      </w:r>
    </w:p>
    <w:p>
      <w:r>
        <w:rPr>
          <w:rFonts w:ascii="宋体" w:hAnsi="宋体" w:eastAsia="宋体"/>
          <w:sz w:val="24"/>
        </w:rPr>
        <w:t>胡吉科，丁熙译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实用BASIC程序100例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胡吉科，丁熙译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本书出售、求购地址：https://www.jiaokey.com/book/detail/11995000.html</w:t>
      </w:r>
    </w:p>
    <w:p>
      <w:r>
        <w:t>更多相关图书推荐：https://www.jiaokey.com</w:t>
      </w:r>
    </w:p>
    <w:p>
      <w:r>
        <w:t>胡吉科，丁熙译 其他作品：https://www.jiaokey.com/tag/胡吉科，丁熙译.html</w:t>
      </w:r>
    </w:p>
    <w:p>
      <w:r>
        <w:t>中国计算机技术服务公司 出版图书：https://www.jiaokey.com/tag/中国计算机技术服务公司.html</w:t>
      </w:r>
    </w:p>
    <w:p>
      <w:r>
        <w:t>关键词搜索：https://www.jiaokey.com/tag/实用BASIC程序100例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