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间接驱动惯性约束聚变</w:t>
      </w:r>
    </w:p>
    <w:p>
      <w:r>
        <w:rPr>
          <w:rFonts w:ascii="宋体" w:hAnsi="宋体" w:eastAsia="宋体"/>
          <w:sz w:val="24"/>
        </w:rPr>
        <w:t>约翰·林德著；张兰芝译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间接驱动惯性约束聚变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约翰·林德著；张兰芝译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《强激光与粒子速》编辑部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本书出售、求购地址：https://www.jiaokey.com/book/detail/11994691.html</w:t>
      </w:r>
    </w:p>
    <w:p>
      <w:r>
        <w:t>更多相关图书推荐：https://www.jiaokey.com</w:t>
      </w:r>
    </w:p>
    <w:p>
      <w:r>
        <w:t>约翰·林德著；张兰芝译 其他作品：https://www.jiaokey.com/tag/约翰·林德著；张兰芝译.html</w:t>
      </w:r>
    </w:p>
    <w:p>
      <w:r>
        <w:t>《强激光与粒子速》编辑部 出版图书：https://www.jiaokey.com/tag/《强激光与粒子速》编辑部.html</w:t>
      </w:r>
    </w:p>
    <w:p>
      <w:r>
        <w:t>关键词搜索：https://www.jiaokey.com/tag/间接驱动惯性约束聚变.html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