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涉外经济法案例精选精评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涉外经济法案例精选精评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本书出售、求购地址：https://www.jiaokey.com/book/detail/11991800.html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关键词搜索：https://www.jiaokey.com/tag/涉外经济法案例精选精评.html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