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引水工程管理考核办法及评分标准</w:t>
      </w:r>
    </w:p>
    <w:p>
      <w:r>
        <w:rPr>
          <w:rFonts w:ascii="宋体" w:hAnsi="宋体" w:eastAsia="宋体"/>
          <w:sz w:val="24"/>
        </w:rPr>
        <w:t>刘广洲主编；《引水工程管理考核办法及评分标准》编委会编著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引水工程管理考核办法及评分标准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刘广洲主编；《引水工程管理考核办法及评分标准》编委会编著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本书出售、求购地址：https://www.jiaokey.com/book/detail/11990362.html</w:t>
      </w:r>
    </w:p>
    <w:p>
      <w:r>
        <w:t>更多相关图书推荐：https://www.jiaokey.com</w:t>
      </w:r>
    </w:p>
    <w:p>
      <w:r>
        <w:t>刘广洲主编；《引水工程管理考核办法及评分标准》编委会编著 其他作品：https://www.jiaokey.com/tag/刘广洲主编；《引水工程管理考核办法及评分标准》编委会编著.html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关键词搜索：https://www.jiaokey.com/tag/引水工程管理考核办法及评分标准.html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